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Приложение</w:t>
      </w:r>
    </w:p>
    <w:p w14:paraId="794F66BF" w14:textId="3B65C59C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A36B59">
        <w:rPr>
          <w:sz w:val="28"/>
          <w:szCs w:val="28"/>
        </w:rPr>
        <w:t>муниципального округа</w:t>
      </w:r>
      <w:r w:rsidR="00A36B59">
        <w:rPr>
          <w:sz w:val="28"/>
          <w:szCs w:val="28"/>
        </w:rPr>
        <w:t xml:space="preserve"> Северное Медведково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685A4BBB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A36B59">
        <w:rPr>
          <w:sz w:val="28"/>
          <w:szCs w:val="28"/>
        </w:rPr>
        <w:t>21.05.</w:t>
      </w:r>
      <w:r w:rsidRPr="00CE03F9">
        <w:rPr>
          <w:sz w:val="28"/>
          <w:szCs w:val="28"/>
        </w:rPr>
        <w:t>20</w:t>
      </w:r>
      <w:r w:rsidR="00A36B59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</w:t>
      </w:r>
      <w:r w:rsidR="00A36B59">
        <w:rPr>
          <w:sz w:val="28"/>
          <w:szCs w:val="28"/>
        </w:rPr>
        <w:t>5/5-СД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181FA2DF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A36B59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313AAA" w:rsidRPr="00313AAA">
        <w:rPr>
          <w:b/>
          <w:bCs/>
          <w:i/>
          <w:spacing w:val="-2"/>
          <w:sz w:val="28"/>
          <w:szCs w:val="28"/>
        </w:rPr>
        <w:t xml:space="preserve"> </w:t>
      </w:r>
      <w:r w:rsidR="00A36B59">
        <w:rPr>
          <w:b/>
          <w:bCs/>
          <w:iCs/>
          <w:spacing w:val="-2"/>
          <w:sz w:val="28"/>
          <w:szCs w:val="28"/>
        </w:rPr>
        <w:t>Северное Медведково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1A6CFD8A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A36B59">
        <w:rPr>
          <w:spacing w:val="-2"/>
          <w:sz w:val="28"/>
          <w:szCs w:val="28"/>
        </w:rPr>
        <w:t>муниципального округа</w:t>
      </w:r>
      <w:r w:rsidR="00E333B9" w:rsidRPr="00313AAA">
        <w:rPr>
          <w:i/>
          <w:iCs/>
          <w:spacing w:val="-2"/>
          <w:sz w:val="28"/>
          <w:szCs w:val="28"/>
        </w:rPr>
        <w:t xml:space="preserve"> </w:t>
      </w:r>
      <w:r w:rsidR="00A36B59">
        <w:rPr>
          <w:spacing w:val="-2"/>
          <w:sz w:val="28"/>
          <w:szCs w:val="28"/>
        </w:rPr>
        <w:t xml:space="preserve">Северное Медведково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624757CB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6C2E6AB7"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A36B59">
        <w:rPr>
          <w:sz w:val="28"/>
          <w:szCs w:val="28"/>
        </w:rPr>
        <w:t>муниципального округа</w:t>
      </w:r>
      <w:r w:rsidR="00A36B59">
        <w:rPr>
          <w:sz w:val="28"/>
          <w:szCs w:val="28"/>
        </w:rPr>
        <w:t xml:space="preserve"> Северное Медведково </w:t>
      </w:r>
      <w:r w:rsidR="008D7F07" w:rsidRPr="004578C5">
        <w:rPr>
          <w:sz w:val="28"/>
          <w:szCs w:val="28"/>
        </w:rPr>
        <w:t>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A36B59">
        <w:rPr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8E063A">
        <w:rPr>
          <w:sz w:val="28"/>
          <w:szCs w:val="28"/>
        </w:rPr>
        <w:t>муниципального округа</w:t>
      </w:r>
      <w:r w:rsidR="007344CC" w:rsidRPr="007344CC">
        <w:rPr>
          <w:sz w:val="28"/>
          <w:szCs w:val="28"/>
        </w:rPr>
        <w:t xml:space="preserve">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6B628607" w:rsidR="00BC5270" w:rsidRPr="00277F91" w:rsidRDefault="00BB2BD2" w:rsidP="0069088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 xml:space="preserve">решением Совета депутатов </w:t>
      </w:r>
      <w:r w:rsidR="00BC5270" w:rsidRPr="008E063A">
        <w:rPr>
          <w:sz w:val="28"/>
          <w:szCs w:val="28"/>
        </w:rPr>
        <w:t>ежеквартально</w:t>
      </w:r>
      <w:r w:rsidR="008E063A">
        <w:rPr>
          <w:sz w:val="28"/>
          <w:szCs w:val="28"/>
        </w:rPr>
        <w:t xml:space="preserve"> </w:t>
      </w:r>
      <w:r w:rsidR="00BC5270" w:rsidRPr="008E063A">
        <w:rPr>
          <w:sz w:val="28"/>
          <w:szCs w:val="28"/>
        </w:rPr>
        <w:t>в месяце, предшествующем наступлению соответствующего квартала,</w:t>
      </w:r>
      <w:r w:rsidR="00BC5270" w:rsidRPr="006623A6">
        <w:rPr>
          <w:sz w:val="28"/>
          <w:szCs w:val="28"/>
        </w:rPr>
        <w:t xml:space="preserve"> и подлежит размещению на официальном сайте </w:t>
      </w:r>
      <w:r w:rsidR="00690881" w:rsidRPr="008E063A">
        <w:rPr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8E063A">
        <w:rPr>
          <w:sz w:val="28"/>
          <w:szCs w:val="28"/>
        </w:rPr>
        <w:lastRenderedPageBreak/>
        <w:t>аппаратом Совета депутатов</w:t>
      </w:r>
      <w:r w:rsidR="008E063A">
        <w:rPr>
          <w:i/>
          <w:iCs/>
          <w:sz w:val="28"/>
          <w:szCs w:val="28"/>
        </w:rPr>
        <w:t xml:space="preserve"> </w:t>
      </w:r>
      <w:r w:rsidR="00690881">
        <w:rPr>
          <w:sz w:val="28"/>
          <w:szCs w:val="28"/>
        </w:rPr>
        <w:t xml:space="preserve">(далее – </w:t>
      </w:r>
      <w:r w:rsidR="00690881" w:rsidRPr="008E063A">
        <w:rPr>
          <w:sz w:val="28"/>
          <w:szCs w:val="28"/>
        </w:rPr>
        <w:t>аппарат Совета депутатов)</w:t>
      </w:r>
      <w:r w:rsidR="00BC5270" w:rsidRPr="008E063A">
        <w:rPr>
          <w:sz w:val="28"/>
          <w:szCs w:val="28"/>
        </w:rPr>
        <w:t>,</w:t>
      </w:r>
      <w:r w:rsidR="00BC5270" w:rsidRPr="006623A6">
        <w:rPr>
          <w:sz w:val="28"/>
          <w:szCs w:val="28"/>
        </w:rPr>
        <w:t xml:space="preserve"> не позднее </w:t>
      </w:r>
      <w:r w:rsidR="00A46613" w:rsidRPr="000A3BF1">
        <w:rPr>
          <w:sz w:val="28"/>
          <w:szCs w:val="28"/>
        </w:rPr>
        <w:t>десяти</w:t>
      </w:r>
      <w:r w:rsidR="00BC5270" w:rsidRPr="000A3BF1">
        <w:rPr>
          <w:sz w:val="28"/>
          <w:szCs w:val="28"/>
        </w:rPr>
        <w:t xml:space="preserve"> дней </w:t>
      </w:r>
      <w:r w:rsidR="00BC5270" w:rsidRPr="006623A6">
        <w:rPr>
          <w:sz w:val="28"/>
          <w:szCs w:val="28"/>
        </w:rPr>
        <w:t>со дня его утверждения Советом депутатов.</w:t>
      </w:r>
    </w:p>
    <w:p w14:paraId="3D74102B" w14:textId="63A7E58D"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6. </w:t>
      </w:r>
      <w:r w:rsidRPr="008E063A">
        <w:rPr>
          <w:sz w:val="28"/>
          <w:szCs w:val="28"/>
        </w:rPr>
        <w:t>Аппарат Совета депутатов</w:t>
      </w:r>
      <w:r w:rsidR="008E063A">
        <w:rPr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</w:t>
      </w:r>
      <w:r w:rsidR="0022677D">
        <w:rPr>
          <w:sz w:val="28"/>
          <w:szCs w:val="28"/>
        </w:rPr>
        <w:t>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27FDBFF3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8E063A">
        <w:rPr>
          <w:sz w:val="28"/>
          <w:szCs w:val="28"/>
        </w:rPr>
        <w:t>аппарат</w:t>
      </w:r>
      <w:r w:rsidR="0069539B" w:rsidRPr="008E063A">
        <w:rPr>
          <w:sz w:val="28"/>
          <w:szCs w:val="28"/>
        </w:rPr>
        <w:t>ом</w:t>
      </w:r>
      <w:r w:rsidR="00BC5270" w:rsidRPr="008E063A">
        <w:rPr>
          <w:sz w:val="28"/>
          <w:szCs w:val="28"/>
        </w:rPr>
        <w:t xml:space="preserve"> Совета депутатов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2A942E96"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8E063A">
        <w:rPr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26E3A888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8E063A">
        <w:rPr>
          <w:sz w:val="28"/>
          <w:szCs w:val="28"/>
        </w:rPr>
        <w:t>аппаратом Совета депутатов,</w:t>
      </w:r>
      <w:r w:rsidR="00136F98" w:rsidRPr="008E063A">
        <w:rPr>
          <w:i/>
          <w:iCs/>
          <w:sz w:val="28"/>
          <w:szCs w:val="28"/>
        </w:rPr>
        <w:t xml:space="preserve">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</w:t>
      </w:r>
      <w:r w:rsidR="009E4FAA" w:rsidRPr="003F54E4">
        <w:rPr>
          <w:sz w:val="28"/>
          <w:szCs w:val="28"/>
        </w:rPr>
        <w:lastRenderedPageBreak/>
        <w:t xml:space="preserve">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71110229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8E063A">
        <w:rPr>
          <w:sz w:val="28"/>
          <w:szCs w:val="28"/>
        </w:rPr>
        <w:t>муниципального округа</w:t>
      </w:r>
      <w:r w:rsidR="00112B5A" w:rsidRPr="002E13E2">
        <w:rPr>
          <w:i/>
          <w:iCs/>
          <w:sz w:val="28"/>
          <w:szCs w:val="28"/>
        </w:rPr>
        <w:t xml:space="preserve"> </w:t>
      </w:r>
      <w:r w:rsidR="00112B5A" w:rsidRPr="002E13E2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3255573B" w14:textId="71FFDFA3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8E063A">
        <w:rPr>
          <w:sz w:val="28"/>
          <w:szCs w:val="28"/>
        </w:rPr>
        <w:t>Аппарат Совета депутатов</w:t>
      </w:r>
      <w:r w:rsidR="008E063A">
        <w:rPr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4EA0D759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помещениях, расположенных на территории </w:t>
      </w:r>
      <w:r w:rsidRPr="008E063A">
        <w:rPr>
          <w:sz w:val="28"/>
          <w:szCs w:val="28"/>
        </w:rPr>
        <w:t>муниципального округа</w:t>
      </w:r>
      <w:r w:rsid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14:paraId="51E18B73" w14:textId="0B725CDC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55F52347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7D665E">
        <w:rPr>
          <w:sz w:val="28"/>
          <w:szCs w:val="28"/>
        </w:rPr>
        <w:t>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24922552" w:rsidR="007D665E" w:rsidRPr="008E063A" w:rsidRDefault="00BA15FD" w:rsidP="00ED7EEF">
      <w:pPr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7D665E" w:rsidRPr="000A3BF1">
        <w:rPr>
          <w:sz w:val="28"/>
          <w:szCs w:val="28"/>
        </w:rPr>
        <w:t>.</w:t>
      </w:r>
    </w:p>
    <w:p w14:paraId="77D20EAD" w14:textId="6E4130AC"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0E6EF6">
        <w:rPr>
          <w:sz w:val="28"/>
          <w:szCs w:val="28"/>
        </w:rPr>
        <w:t>муниципального округа,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0E6EF6">
        <w:rPr>
          <w:sz w:val="28"/>
          <w:szCs w:val="28"/>
        </w:rPr>
        <w:t>муниципального округа</w:t>
      </w:r>
      <w:r w:rsidR="000E6EF6">
        <w:rPr>
          <w:sz w:val="28"/>
          <w:szCs w:val="28"/>
        </w:rPr>
        <w:t xml:space="preserve"> </w:t>
      </w:r>
      <w:r w:rsidR="0046125A">
        <w:rPr>
          <w:sz w:val="28"/>
          <w:szCs w:val="28"/>
        </w:rPr>
        <w:t xml:space="preserve">и </w:t>
      </w:r>
      <w:r w:rsidR="0046125A" w:rsidRPr="000E6EF6">
        <w:rPr>
          <w:sz w:val="28"/>
          <w:szCs w:val="28"/>
        </w:rPr>
        <w:t>аппарата Совета депутатов</w:t>
      </w:r>
      <w:r w:rsidR="000E6EF6">
        <w:rPr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A426D4F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0B4D8618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lastRenderedPageBreak/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0A3BF1">
        <w:rPr>
          <w:sz w:val="28"/>
          <w:szCs w:val="28"/>
        </w:rPr>
        <w:t xml:space="preserve">30 </w:t>
      </w:r>
      <w:r w:rsidRPr="007E3A3F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0A3BF1" w:rsidRPr="000A3BF1">
        <w:rPr>
          <w:sz w:val="28"/>
          <w:szCs w:val="28"/>
        </w:rPr>
        <w:t>10</w:t>
      </w:r>
      <w:r w:rsidRPr="000A3BF1">
        <w:rPr>
          <w:sz w:val="28"/>
          <w:szCs w:val="28"/>
        </w:rPr>
        <w:t xml:space="preserve"> </w:t>
      </w:r>
      <w:r w:rsidR="005C19CD" w:rsidRPr="000A3BF1">
        <w:rPr>
          <w:sz w:val="28"/>
          <w:szCs w:val="28"/>
        </w:rPr>
        <w:t>и</w:t>
      </w:r>
      <w:r w:rsidR="005C19CD">
        <w:rPr>
          <w:sz w:val="28"/>
          <w:szCs w:val="28"/>
        </w:rPr>
        <w:t>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0E6EF6">
        <w:rPr>
          <w:sz w:val="28"/>
          <w:szCs w:val="28"/>
        </w:rPr>
        <w:t>в пачкающей, издающей неприятные запахи одежде</w:t>
      </w:r>
      <w:r w:rsidR="00A61B51" w:rsidRPr="000E6EF6">
        <w:rPr>
          <w:sz w:val="28"/>
          <w:szCs w:val="28"/>
        </w:rPr>
        <w:t xml:space="preserve"> и обуви</w:t>
      </w:r>
      <w:r w:rsidR="00813637" w:rsidRPr="000E6EF6">
        <w:rPr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0E6EF6">
        <w:rPr>
          <w:sz w:val="28"/>
          <w:szCs w:val="28"/>
        </w:rPr>
        <w:t xml:space="preserve">с </w:t>
      </w:r>
      <w:r w:rsidR="00813637" w:rsidRPr="000E6EF6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3857511B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0235CC7B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55E90340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при содействии </w:t>
      </w:r>
      <w:r w:rsidRPr="000E6EF6">
        <w:rPr>
          <w:sz w:val="28"/>
          <w:szCs w:val="28"/>
        </w:rPr>
        <w:t>аппарата Совета депутатов</w:t>
      </w:r>
      <w:r w:rsidR="000E6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21B07961" w14:textId="2598AFF9"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58E29736" w14:textId="1C0EF079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0E6EF6">
        <w:rPr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354068F1"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38DA2D5F"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0E6EF6">
        <w:rPr>
          <w:sz w:val="28"/>
          <w:szCs w:val="28"/>
        </w:rPr>
        <w:t>аппарата Совета депутатов</w:t>
      </w:r>
      <w:r w:rsidR="000E6EF6">
        <w:rPr>
          <w:sz w:val="28"/>
          <w:szCs w:val="28"/>
        </w:rPr>
        <w:t xml:space="preserve"> </w:t>
      </w:r>
      <w:r w:rsidRPr="00836007">
        <w:rPr>
          <w:sz w:val="28"/>
          <w:szCs w:val="28"/>
        </w:rPr>
        <w:t xml:space="preserve">и подлежат хранению в </w:t>
      </w:r>
      <w:r w:rsidRPr="000E6EF6">
        <w:rPr>
          <w:sz w:val="28"/>
          <w:szCs w:val="28"/>
        </w:rPr>
        <w:t>аппарате Совета депутатов</w:t>
      </w:r>
      <w:r w:rsidR="000E6EF6">
        <w:rPr>
          <w:sz w:val="28"/>
          <w:szCs w:val="28"/>
        </w:rPr>
        <w:t xml:space="preserve"> </w:t>
      </w:r>
      <w:r w:rsidRPr="00836007">
        <w:rPr>
          <w:sz w:val="28"/>
          <w:szCs w:val="28"/>
        </w:rPr>
        <w:t xml:space="preserve">в порядке и </w:t>
      </w:r>
      <w:r w:rsidRPr="00836007">
        <w:rPr>
          <w:sz w:val="28"/>
          <w:szCs w:val="28"/>
        </w:rPr>
        <w:lastRenderedPageBreak/>
        <w:t>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086C2296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0E6EF6">
        <w:rPr>
          <w:iCs/>
          <w:sz w:val="28"/>
          <w:szCs w:val="28"/>
        </w:rPr>
        <w:t>муниципального округа</w:t>
      </w:r>
      <w:r w:rsidR="000E6EF6">
        <w:rPr>
          <w:iCs/>
          <w:sz w:val="28"/>
          <w:szCs w:val="28"/>
        </w:rPr>
        <w:t xml:space="preserve"> Северное Медведково </w:t>
      </w:r>
      <w:r w:rsidRPr="00066632">
        <w:rPr>
          <w:sz w:val="28"/>
          <w:szCs w:val="28"/>
        </w:rPr>
        <w:t>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0970D865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65B842C"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492A57AF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_________________________________________________________________________________</w:t>
      </w:r>
    </w:p>
    <w:sectPr w:rsidR="00066632" w:rsidRPr="00066632" w:rsidSect="00AD5E6D">
      <w:headerReference w:type="default" r:id="rId8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0FBF" w14:textId="77777777" w:rsidR="00007895" w:rsidRDefault="00007895" w:rsidP="00AD5E6D">
      <w:r>
        <w:separator/>
      </w:r>
    </w:p>
  </w:endnote>
  <w:endnote w:type="continuationSeparator" w:id="0">
    <w:p w14:paraId="7674209F" w14:textId="77777777" w:rsidR="00007895" w:rsidRDefault="00007895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BF96" w14:textId="77777777" w:rsidR="00007895" w:rsidRDefault="00007895" w:rsidP="00AD5E6D">
      <w:r>
        <w:separator/>
      </w:r>
    </w:p>
  </w:footnote>
  <w:footnote w:type="continuationSeparator" w:id="0">
    <w:p w14:paraId="2B4A4EFC" w14:textId="77777777" w:rsidR="00007895" w:rsidRDefault="00007895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63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895"/>
    <w:rsid w:val="00007F45"/>
    <w:rsid w:val="000105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3BF1"/>
    <w:rsid w:val="000A700F"/>
    <w:rsid w:val="000A76BF"/>
    <w:rsid w:val="000C3BF8"/>
    <w:rsid w:val="000D3DDE"/>
    <w:rsid w:val="000D48C5"/>
    <w:rsid w:val="000E295C"/>
    <w:rsid w:val="000E5C1C"/>
    <w:rsid w:val="000E6EF6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2B0E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151A3"/>
    <w:rsid w:val="004207F6"/>
    <w:rsid w:val="00422244"/>
    <w:rsid w:val="00441C2C"/>
    <w:rsid w:val="004507E6"/>
    <w:rsid w:val="00457473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E4458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3849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3F33"/>
    <w:rsid w:val="007E70A8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063A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36B59"/>
    <w:rsid w:val="00A40F37"/>
    <w:rsid w:val="00A43797"/>
    <w:rsid w:val="00A4580C"/>
    <w:rsid w:val="00A46613"/>
    <w:rsid w:val="00A5084A"/>
    <w:rsid w:val="00A52C84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15B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55F0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3FC"/>
    <w:rsid w:val="00D536D2"/>
    <w:rsid w:val="00D555C7"/>
    <w:rsid w:val="00D55748"/>
    <w:rsid w:val="00D57EB8"/>
    <w:rsid w:val="00D6490C"/>
    <w:rsid w:val="00D7039A"/>
    <w:rsid w:val="00D73542"/>
    <w:rsid w:val="00D863B3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294A"/>
    <w:rsid w:val="00E333B9"/>
    <w:rsid w:val="00E50C9E"/>
    <w:rsid w:val="00E5290E"/>
    <w:rsid w:val="00E559BB"/>
    <w:rsid w:val="00E64138"/>
    <w:rsid w:val="00E70EAD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Ксения Измайлова</cp:lastModifiedBy>
  <cp:revision>2</cp:revision>
  <cp:lastPrinted>2026-04-15T09:13:00Z</cp:lastPrinted>
  <dcterms:created xsi:type="dcterms:W3CDTF">2026-07-01T08:58:00Z</dcterms:created>
  <dcterms:modified xsi:type="dcterms:W3CDTF">2026-07-01T08:58:00Z</dcterms:modified>
</cp:coreProperties>
</file>